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519D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519D7" w:rsidRDefault="00D51E4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519D7" w:rsidRDefault="00D51E4D">
            <w:pPr>
              <w:spacing w:after="0" w:line="240" w:lineRule="auto"/>
            </w:pPr>
            <w:r>
              <w:t>42602</w:t>
            </w:r>
          </w:p>
        </w:tc>
      </w:tr>
      <w:tr w:rsidR="00E519D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519D7" w:rsidRDefault="00D51E4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519D7" w:rsidRDefault="00D51E4D">
            <w:pPr>
              <w:spacing w:after="0" w:line="240" w:lineRule="auto"/>
            </w:pPr>
            <w:r>
              <w:t>Centar za pružanje usluga u zajednici Tić Rijeka</w:t>
            </w:r>
          </w:p>
        </w:tc>
      </w:tr>
      <w:tr w:rsidR="00E519D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519D7" w:rsidRDefault="00D51E4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519D7" w:rsidRDefault="00D51E4D">
            <w:pPr>
              <w:spacing w:after="0" w:line="240" w:lineRule="auto"/>
            </w:pPr>
            <w:r>
              <w:t>21</w:t>
            </w:r>
          </w:p>
        </w:tc>
      </w:tr>
    </w:tbl>
    <w:p w:rsidR="00E519D7" w:rsidRDefault="00D51E4D">
      <w:r>
        <w:br/>
      </w:r>
    </w:p>
    <w:p w:rsidR="00E519D7" w:rsidRDefault="00D51E4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519D7" w:rsidRDefault="00D51E4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519D7" w:rsidRDefault="00D51E4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317.816,97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425.045,34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335.450,17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415.958,82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9.086,52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4,2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12.405,03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4,2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8.563,97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Prihodi poslovanja (6) u razdoblju </w:t>
      </w:r>
      <w:proofErr w:type="gramStart"/>
      <w:r>
        <w:t>od</w:t>
      </w:r>
      <w:proofErr w:type="gramEnd"/>
      <w:r>
        <w:t xml:space="preserve"> 1. </w:t>
      </w:r>
      <w:proofErr w:type="gramStart"/>
      <w:r>
        <w:t>siječnja</w:t>
      </w:r>
      <w:proofErr w:type="gramEnd"/>
      <w:r>
        <w:t xml:space="preserve"> do 31. </w:t>
      </w:r>
      <w:proofErr w:type="gramStart"/>
      <w:r>
        <w:t>prosinca</w:t>
      </w:r>
      <w:proofErr w:type="gramEnd"/>
      <w:r>
        <w:t xml:space="preserve"> 2025. godine iznose 425.045,34 eura i ostvareni su s osnova prihoda iz proračuna (67) u iznosu 367.452,05 eura (87% ukupnih prihoda), tekućih pomoći iz proračuna koji im nije nadležan za sufinanciranje djelatnosti (63) u iznosu od 31.572,26 eura (7% ukupnih prihoda), prihoda uplaćenog od Ministarstva rada, </w:t>
      </w:r>
      <w:r>
        <w:lastRenderedPageBreak/>
        <w:t xml:space="preserve">mirovinskoga sustava, obitelji i socijalne politike (65) u iznosu od 13.121,88 eura (3% od ukupnog prihoda) i prihoda od donacija (66) u iznosu 12.899,15 eura (3% od ukupnog prihoda). Rashodi poslovanja ostvareni su u ukupnom iznosu </w:t>
      </w:r>
      <w:proofErr w:type="gramStart"/>
      <w:r>
        <w:t>od</w:t>
      </w:r>
      <w:proofErr w:type="gramEnd"/>
      <w:r>
        <w:t xml:space="preserve"> 415.958,82 eura u 2025. </w:t>
      </w:r>
      <w:proofErr w:type="gramStart"/>
      <w:r>
        <w:t>godini</w:t>
      </w:r>
      <w:proofErr w:type="gramEnd"/>
      <w:r>
        <w:t xml:space="preserve"> te bilježe porast od 24% u odnosu na isto razdoblje prethodne godine i to kod rashoda za zaposlene, materijalni rashodi i financijski rashodi. Prihodi </w:t>
      </w:r>
      <w:proofErr w:type="gramStart"/>
      <w:r>
        <w:t>od</w:t>
      </w:r>
      <w:proofErr w:type="gramEnd"/>
      <w:r>
        <w:t xml:space="preserve"> prodaje nefinancijske imovine nisu ostvareni, u skladu s tim manje je utrošeno na rashode za nabavu nefinancijske imovine u Centru Tić. U izvještajnom razdoblju ostvaren je tekući višak prihoda poslovanja u iznosu od 9.086,52 eura, manjak prihoda od nefinancijske imovine u iznosu od 522</w:t>
      </w:r>
      <w:proofErr w:type="gramStart"/>
      <w:r>
        <w:t>,55</w:t>
      </w:r>
      <w:proofErr w:type="gramEnd"/>
      <w:r>
        <w:t xml:space="preserve"> eura, slijedom čega je na kraju izvještajnog razdoblja ostvaren ukupan višak prihoda i primitaka u iznosu od 8.563,97 eura.</w:t>
      </w:r>
    </w:p>
    <w:p w:rsidR="00E519D7" w:rsidRDefault="00D51E4D">
      <w:r>
        <w:t> </w:t>
      </w:r>
      <w:r>
        <w:br/>
      </w:r>
    </w:p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265.973,30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321.187,40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Rashodi za zaposlene s osnove plaća i pripadajućih doprinosa, te drugih potpora, naknada i nagrada bilježe porast za 20</w:t>
      </w:r>
      <w:proofErr w:type="gramStart"/>
      <w:r>
        <w:t>,8</w:t>
      </w:r>
      <w:proofErr w:type="gramEnd"/>
      <w:r>
        <w:t>% u odnosu na prethodnu godinu i iznose 321.187,40 eura.</w:t>
      </w:r>
      <w:r>
        <w:br/>
        <w:t xml:space="preserve">Porast od 25,1% u podskupini bilježi se na plaćama za redovan rad budući da je došlo do povećanja broja zaposlenih (popunjena su sva sistematizirana radna mjesta) u odnosu na prošlo izvještajno razdoblje te je došlo do povećanja osnovice plaće za 3% sukladno Odluci o visini osnovice za obračun plaće u javnim službama u 2025. </w:t>
      </w:r>
      <w:proofErr w:type="gramStart"/>
      <w:r>
        <w:t>godini</w:t>
      </w:r>
      <w:proofErr w:type="gramEnd"/>
      <w:r>
        <w:t>. Nastavno na navedeno također se bilježi i porast od 31</w:t>
      </w:r>
      <w:proofErr w:type="gramStart"/>
      <w:r>
        <w:t>,5</w:t>
      </w:r>
      <w:proofErr w:type="gramEnd"/>
      <w:r>
        <w:t>% na rashodima za doprinose na plaće.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69.473,00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94.763,74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Materijalni rashodi su na ukupnoj razini veći u odnosu na prethodnu godinu za 36,4% te iznose 94.763,74 eura što čini 22,8% ukupnog rashoda. Unutar podskupina računskog plana, vidljivo je da pojedini odjeljci variraju. Naknade troškova zaposlenima bilježe porast </w:t>
      </w:r>
      <w:proofErr w:type="gramStart"/>
      <w:r>
        <w:t>na</w:t>
      </w:r>
      <w:proofErr w:type="gramEnd"/>
      <w:r>
        <w:t xml:space="preserve"> ukupnoj razini u odnosu na prethodnu godinu te iznose 24.845,13 eura. Istaknuto je povećanje u odjeljku stručno usavršavanje zaposlenika, zbog sudjelovanja zaposlenika na brojnim stručnim edukacijama, shodno tome i službena putovanja također bilježe porast za 56</w:t>
      </w:r>
      <w:proofErr w:type="gramStart"/>
      <w:r>
        <w:t>,6</w:t>
      </w:r>
      <w:proofErr w:type="gramEnd"/>
      <w:r>
        <w:t>% u odnosu na prethodnu godinu.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20.965,45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15.833,93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75,5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Rashodi za materijal i energiju manji su za 24</w:t>
      </w:r>
      <w:proofErr w:type="gramStart"/>
      <w:r>
        <w:t>,5</w:t>
      </w:r>
      <w:proofErr w:type="gramEnd"/>
      <w:r>
        <w:t>% u odnosu na prethodnu godinu. Najveće odstupanje u podskupini je vidljivo na kontu uredskog materijala i ostalih materijalnih rashoda koji su povećani za 63,7%, dok su rashodi za materijal i sirovine smanjeni za 50,2% u odnosu na prethodnu godinu, kao i rashodi za sitni inventar i autogume za 73,7%.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1168,1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Povećanje rashoda </w:t>
      </w:r>
      <w:proofErr w:type="gramStart"/>
      <w:r>
        <w:t>od</w:t>
      </w:r>
      <w:proofErr w:type="gramEnd"/>
      <w:r>
        <w:t xml:space="preserve"> 1.068% bilježe usluge tekućeg i investicijskog održavanja, uslijed servisiranja plinskih bojlera, klima uređaja, sanacije i ispitivanja plinskih instalacija te radova na telefonskoj centrali.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14.307,26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391,6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Povećanje od 291</w:t>
      </w:r>
      <w:proofErr w:type="gramStart"/>
      <w:r>
        <w:t>,6</w:t>
      </w:r>
      <w:proofErr w:type="gramEnd"/>
      <w:r>
        <w:t>% bilježi se na intelektualnim i osobnim uslugama, radi organizacije održavanja stručne edukacije i supervizije djelatnika.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25,6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lastRenderedPageBreak/>
        <w:t>Računalne usluge bilježe smanjenje od 74</w:t>
      </w:r>
      <w:proofErr w:type="gramStart"/>
      <w:r>
        <w:t>,4</w:t>
      </w:r>
      <w:proofErr w:type="gramEnd"/>
      <w:r>
        <w:t>% budući da se naknada za digitalne certifikate za eRačune s rokom važenja 5 godina teretila u prethodnoj godini.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16.177,82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26.058,80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Povećanje se bilježi na ostalim uslugama za 61</w:t>
      </w:r>
      <w:proofErr w:type="gramStart"/>
      <w:r>
        <w:t>,1</w:t>
      </w:r>
      <w:proofErr w:type="gramEnd"/>
      <w:r>
        <w:t>% koje uključuju usluge redovitog održavanja prostorija ustanove, usluge centralnog dojavnog sustava (CDS-a) i intervencija, zatim za vođenje poslova zaštite na radu, usluge putničke agencije za organizaciju cjelodnevnog izleta za korisnike, uslugu zbrinjavanja glomaznog otpada kao i usluge pripreme i dostave toplog obroka za korisnike ustanove.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14,3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Ostali nespomenuti rashodi poslovanja smanjeni su za 85</w:t>
      </w:r>
      <w:proofErr w:type="gramStart"/>
      <w:r>
        <w:t>,7</w:t>
      </w:r>
      <w:proofErr w:type="gramEnd"/>
      <w:r>
        <w:t>% u ovom izvještajnom razdoblju u odnosu na prethodno, a najvećim dijelom odnose se na premije osiguranja zaposlenih.</w:t>
      </w:r>
    </w:p>
    <w:p w:rsidR="00E519D7" w:rsidRDefault="00D51E4D">
      <w:r>
        <w:t> </w:t>
      </w:r>
    </w:p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198,4</w:t>
            </w:r>
          </w:p>
        </w:tc>
      </w:tr>
    </w:tbl>
    <w:p w:rsidR="00E519D7" w:rsidRDefault="00E519D7">
      <w:pPr>
        <w:spacing w:after="0"/>
      </w:pPr>
    </w:p>
    <w:p w:rsidR="00E519D7" w:rsidRDefault="00D51E4D">
      <w:r>
        <w:t xml:space="preserve">Financijski rashodi odnose se </w:t>
      </w:r>
      <w:proofErr w:type="gramStart"/>
      <w:r>
        <w:t>na</w:t>
      </w:r>
      <w:proofErr w:type="gramEnd"/>
      <w:r>
        <w:t xml:space="preserve"> obračun zateznih kamata iz poslovnih odnosa (komunalne naknade).</w:t>
      </w:r>
    </w:p>
    <w:p w:rsidR="00E519D7" w:rsidRDefault="00D51E4D">
      <w:r>
        <w:t>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Obračunati nenaplaćeni prihodi poslovanja odnose se </w:t>
      </w:r>
      <w:proofErr w:type="gramStart"/>
      <w:r>
        <w:t>na</w:t>
      </w:r>
      <w:proofErr w:type="gramEnd"/>
      <w:r>
        <w:t xml:space="preserve"> prihode s osnova mjesečne doznake iz Ministarstva rada, mirovinskoga sustava, obitelji i socijalne politike za prosinac 2025. </w:t>
      </w:r>
      <w:proofErr w:type="gramStart"/>
      <w:r>
        <w:t>godine</w:t>
      </w:r>
      <w:proofErr w:type="gramEnd"/>
      <w:r>
        <w:t>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4,2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Rashodi za nabavu proizvedene dugotrajne imovine manji su za 95</w:t>
      </w:r>
      <w:proofErr w:type="gramStart"/>
      <w:r>
        <w:t>,8</w:t>
      </w:r>
      <w:proofErr w:type="gramEnd"/>
      <w:r>
        <w:t>%, a odnose se na rashode za nabavu mobilnog uređaja i ormara.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17.818,57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Na kraju izvještajne 2025. </w:t>
      </w:r>
      <w:proofErr w:type="gramStart"/>
      <w:r>
        <w:t>godine</w:t>
      </w:r>
      <w:proofErr w:type="gramEnd"/>
      <w:r>
        <w:t>, utvrđen je višak prihoda i primitaka (X005) u iznosu 8.563,97 eura što sa prenesenim manjkom prihoda i primitaka 17.475,61 eura ukupno čini manjak prihoda i primitaka za pokriće u sljedećem razdoblju u iznosu od 8.911,64 eura. Detaljnije obrazloženo u Bilješci br. 20.</w:t>
      </w:r>
    </w:p>
    <w:p w:rsidR="00E519D7" w:rsidRDefault="00D51E4D">
      <w:r>
        <w:t> </w:t>
      </w:r>
    </w:p>
    <w:p w:rsidR="00E519D7" w:rsidRDefault="00D51E4D">
      <w:pPr>
        <w:jc w:val="both"/>
      </w:pPr>
      <w:r>
        <w:t>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Centar za pružanje usluga u zajednici Tić Rijeka </w:t>
      </w:r>
      <w:proofErr w:type="gramStart"/>
      <w:r>
        <w:t>nema</w:t>
      </w:r>
      <w:proofErr w:type="gramEnd"/>
      <w:r>
        <w:t xml:space="preserve"> otvoren vlastiti žiro račun iz razloga što se poslovanje odvija preko jedinstvenog računa riznice, stoga stanje na računu 11 na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iznosi 0,00 eura.</w:t>
      </w:r>
    </w:p>
    <w:p w:rsidR="00E519D7" w:rsidRDefault="00D51E4D">
      <w:r>
        <w:t> </w:t>
      </w:r>
    </w:p>
    <w:p w:rsidR="00E519D7" w:rsidRDefault="00E519D7">
      <w:bookmarkStart w:id="0" w:name="_GoBack"/>
      <w:bookmarkEnd w:id="0"/>
    </w:p>
    <w:p w:rsidR="00E519D7" w:rsidRDefault="00D51E4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45.170,54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39.374,12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87,2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Stanje ukupne imovine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iznosi 39.374,12 eura te bilježi smanjenje za 12,8% u odnosu na stanje od 1. </w:t>
      </w:r>
      <w:proofErr w:type="gramStart"/>
      <w:r>
        <w:t>siječnja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. Udio nefinancijske imovine u ukupnoj aktivi iznosi 32%, dok financijska imovina participira preostalim udjelom </w:t>
      </w:r>
      <w:proofErr w:type="gramStart"/>
      <w:r>
        <w:t>od</w:t>
      </w:r>
      <w:proofErr w:type="gramEnd"/>
      <w:r>
        <w:t xml:space="preserve"> 68%.</w:t>
      </w:r>
    </w:p>
    <w:p w:rsidR="00E519D7" w:rsidRDefault="00D51E4D">
      <w:r>
        <w:t>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16.889,39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75,1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Kod proizvedene dugotrajne imovine u ukupnom iznosu </w:t>
      </w:r>
      <w:proofErr w:type="gramStart"/>
      <w:r>
        <w:t>od</w:t>
      </w:r>
      <w:proofErr w:type="gramEnd"/>
      <w:r>
        <w:t xml:space="preserve"> 12.687,74 eura bilježi se smanjenje za 25% u odnosu na početno stanje. U ovoj strukturi najveći udio zauzimaju ulaganja u postrojenja i opremu, </w:t>
      </w:r>
      <w:proofErr w:type="gramStart"/>
      <w:r>
        <w:t>a</w:t>
      </w:r>
      <w:proofErr w:type="gramEnd"/>
      <w:r>
        <w:t xml:space="preserve"> usporedno s time i redovan ispravak vrijednosti.</w:t>
      </w:r>
    </w:p>
    <w:p w:rsidR="00E519D7" w:rsidRDefault="00D51E4D">
      <w:r>
        <w:t>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28.281,15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26.686,38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94,4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Vrijednost financijske imovine </w:t>
      </w:r>
      <w:proofErr w:type="gramStart"/>
      <w:r>
        <w:t>na</w:t>
      </w:r>
      <w:proofErr w:type="gramEnd"/>
      <w:r>
        <w:t xml:space="preserve"> dan 31. </w:t>
      </w:r>
      <w:proofErr w:type="gramStart"/>
      <w:r>
        <w:t>prosinca</w:t>
      </w:r>
      <w:proofErr w:type="gramEnd"/>
      <w:r>
        <w:t xml:space="preserve"> 2025. </w:t>
      </w:r>
      <w:proofErr w:type="gramStart"/>
      <w:r>
        <w:t>godine</w:t>
      </w:r>
      <w:proofErr w:type="gramEnd"/>
      <w:r>
        <w:t xml:space="preserve"> na ukupnoj razini je smanjena za 6% u odnosu na početno stanje i iznosi 26.686,38 eura. Novčana sredstava na računima i u blagajni nemaju salda i iznose 0</w:t>
      </w:r>
      <w:proofErr w:type="gramStart"/>
      <w:r>
        <w:t>,00</w:t>
      </w:r>
      <w:proofErr w:type="gramEnd"/>
      <w:r>
        <w:t xml:space="preserve"> eura iz razloga što se poslovanje odvija preko jedinstvenog računa riznice. U skladu </w:t>
      </w:r>
      <w:proofErr w:type="gramStart"/>
      <w:r>
        <w:t>sa</w:t>
      </w:r>
      <w:proofErr w:type="gramEnd"/>
      <w:r>
        <w:t xml:space="preserve"> tim korisnik je ostvario saldo na računu potraživanja proračunskih korisnika za sredstva uplaćena u nadležni proračun (167) u iznosu od 23.715,59 eura.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44.938,72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34.401,22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76,6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Obveze iznose 87% </w:t>
      </w:r>
      <w:proofErr w:type="gramStart"/>
      <w:r>
        <w:t>od</w:t>
      </w:r>
      <w:proofErr w:type="gramEnd"/>
      <w:r>
        <w:t xml:space="preserve"> ukupne pasive i odnose se na obveze za rashode poslovanja i manjim udjelom na obveze za nabavu nefinancijske imovine. Unutar skupine obveze za rashode poslovanja bilježe obveze za zaposlene u visini 29.100,54 eura (88%) i obveze za materijalne rashode 3.842,35 eura (12%). Obveze za nabavu nefinancijske imovine iznose 214</w:t>
      </w:r>
      <w:proofErr w:type="gramStart"/>
      <w:r>
        <w:t>,02</w:t>
      </w:r>
      <w:proofErr w:type="gramEnd"/>
      <w:r>
        <w:t xml:space="preserve"> eura, a odnose se na ulaganja na postrojenja i opremu.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-17.818,57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-8.911,64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:rsidR="00E519D7" w:rsidRDefault="00E519D7">
      <w:pPr>
        <w:spacing w:after="0"/>
      </w:pPr>
    </w:p>
    <w:p w:rsidR="00E519D7" w:rsidRDefault="00D51E4D">
      <w:r>
        <w:t>Preneseni manjak prihoda i primitaka iz prethodne godine iskazan je u iznosu od -17.818</w:t>
      </w:r>
      <w:proofErr w:type="gramStart"/>
      <w:r>
        <w:t>,57</w:t>
      </w:r>
      <w:proofErr w:type="gramEnd"/>
      <w:r>
        <w:t xml:space="preserve"> eura.</w:t>
      </w:r>
    </w:p>
    <w:p w:rsidR="00E519D7" w:rsidRDefault="00D51E4D">
      <w:r>
        <w:t>U izvještajnom razdoblju ostvaren je tekući višak prihoda i iznosi 8.563,97 eura, proizašao iz:</w:t>
      </w:r>
    </w:p>
    <w:p w:rsidR="00E519D7" w:rsidRDefault="00D51E4D">
      <w:r>
        <w:t>·        </w:t>
      </w:r>
      <w:proofErr w:type="gramStart"/>
      <w:r>
        <w:t>viška</w:t>
      </w:r>
      <w:proofErr w:type="gramEnd"/>
      <w:r>
        <w:t xml:space="preserve"> prihoda poslovanja (X001 PR-RAS)                                       9.086,52 eura</w:t>
      </w:r>
    </w:p>
    <w:p w:rsidR="00E519D7" w:rsidRDefault="00D51E4D">
      <w:r>
        <w:t>·        </w:t>
      </w:r>
      <w:proofErr w:type="gramStart"/>
      <w:r>
        <w:t>manjka</w:t>
      </w:r>
      <w:proofErr w:type="gramEnd"/>
      <w:r>
        <w:t xml:space="preserve"> prihoda od nefinancijske imovine (Y002 PR-RAS)             - 522,55 eura</w:t>
      </w:r>
    </w:p>
    <w:p w:rsidR="00E519D7" w:rsidRDefault="00D51E4D">
      <w:pPr>
        <w:jc w:val="both"/>
      </w:pPr>
      <w:r>
        <w:t>Tijekom godine izvršena je korekcija početnog stanja prenesenog financijskog rezultata, pri čemu je manjak prihoda i primitaka umanjen za 342</w:t>
      </w:r>
      <w:proofErr w:type="gramStart"/>
      <w:r>
        <w:t>,96</w:t>
      </w:r>
      <w:proofErr w:type="gramEnd"/>
      <w:r>
        <w:t xml:space="preserve"> eura.  Na kraju izvještajne 2025. </w:t>
      </w:r>
      <w:proofErr w:type="gramStart"/>
      <w:r>
        <w:t>godine</w:t>
      </w:r>
      <w:proofErr w:type="gramEnd"/>
      <w:r>
        <w:t xml:space="preserve"> utvrđen </w:t>
      </w:r>
      <w:r>
        <w:lastRenderedPageBreak/>
        <w:t xml:space="preserve">je manjak prihoda i primitaka za pokriće u sljedećem razdoblju u ukupnom iznosu od - 8.911,64 eura koji se sastoji, nakon prebijanja viškova i manjkova istih kategorija aktivnosti u skladu s člankom 215. Pravilnika o proračunskom računovodstvu i Računskom planu </w:t>
      </w:r>
      <w:proofErr w:type="gramStart"/>
      <w:r>
        <w:t>od</w:t>
      </w:r>
      <w:proofErr w:type="gramEnd"/>
      <w:r>
        <w:t>:</w:t>
      </w:r>
    </w:p>
    <w:p w:rsidR="00E519D7" w:rsidRDefault="00D51E4D">
      <w:r>
        <w:t>·        </w:t>
      </w:r>
      <w:proofErr w:type="gramStart"/>
      <w:r>
        <w:t>viška</w:t>
      </w:r>
      <w:proofErr w:type="gramEnd"/>
      <w:r>
        <w:t xml:space="preserve"> prihoda poslovanja                                                                 2.176,74 eura </w:t>
      </w:r>
    </w:p>
    <w:p w:rsidR="00E519D7" w:rsidRDefault="00D51E4D">
      <w:r>
        <w:t>·        </w:t>
      </w:r>
      <w:proofErr w:type="gramStart"/>
      <w:r>
        <w:t>manjka</w:t>
      </w:r>
      <w:proofErr w:type="gramEnd"/>
      <w:r>
        <w:t xml:space="preserve"> prihoda od nefinancijske imovine                                   - 11.088,38 eura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E519D7" w:rsidRDefault="00E519D7">
      <w:pPr>
        <w:spacing w:after="0"/>
      </w:pPr>
    </w:p>
    <w:p w:rsidR="00E519D7" w:rsidRDefault="00D51E4D">
      <w:r>
        <w:t xml:space="preserve">Obračunati prihodi poslovanja čine nedospjelo potraživanje u iznosu </w:t>
      </w:r>
      <w:proofErr w:type="gramStart"/>
      <w:r>
        <w:t>od</w:t>
      </w:r>
      <w:proofErr w:type="gramEnd"/>
      <w:r>
        <w:t xml:space="preserve"> 1.196,80 eura.</w:t>
      </w:r>
    </w:p>
    <w:p w:rsidR="00E519D7" w:rsidRDefault="00D51E4D">
      <w:r>
        <w:t> 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>Obveza od 544</w:t>
      </w:r>
      <w:proofErr w:type="gramStart"/>
      <w:r>
        <w:t>,07</w:t>
      </w:r>
      <w:proofErr w:type="gramEnd"/>
      <w:r>
        <w:t xml:space="preserve"> eura su dospjele obveze, a odnose se na obveze za rashode poslovanja i to u dijelu obveza za materijalne rashode (naknade troškova za dnevnice za jednodnevni posjet Puli s korisnicima Centra Tić Rijeka u iznosu 63,00 eura, rashod za režijski trošak plina u iznosu od 91,07 eura te rashod za intelektualne usluge supervizije stručnih radnika u iznosu od 390,00 eura). Plaćanje navedenih obveza bit </w:t>
      </w:r>
      <w:proofErr w:type="gramStart"/>
      <w:r>
        <w:t>će</w:t>
      </w:r>
      <w:proofErr w:type="gramEnd"/>
      <w:r>
        <w:t xml:space="preserve"> izvršeno u 2026. </w:t>
      </w:r>
      <w:proofErr w:type="gramStart"/>
      <w:r>
        <w:t>godini</w:t>
      </w:r>
      <w:proofErr w:type="gramEnd"/>
      <w:r>
        <w:t>.</w:t>
      </w:r>
    </w:p>
    <w:p w:rsidR="00E519D7" w:rsidRDefault="00E519D7"/>
    <w:p w:rsidR="00E519D7" w:rsidRDefault="00D51E4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19D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19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E519D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33.857,15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19D7" w:rsidRDefault="00D51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19D7" w:rsidRDefault="00E519D7">
      <w:pPr>
        <w:spacing w:after="0"/>
      </w:pPr>
    </w:p>
    <w:p w:rsidR="00E519D7" w:rsidRDefault="00D51E4D">
      <w:pPr>
        <w:jc w:val="both"/>
      </w:pPr>
      <w:r>
        <w:t xml:space="preserve">Nedospjele obveze u iznosu od 33.857,15 eura čine međusobne nedospjele obveze za povrat u nadležni proračun s osnove povrata potraživanja za bolovanje u iznosu od 1.244,31 eura, obveze </w:t>
      </w:r>
      <w:r>
        <w:lastRenderedPageBreak/>
        <w:t xml:space="preserve">za zaposlene u iznosu od 29.100,54 eura (plaće za prosinac 2025. godine isplata slijedi u siječnju 2026. godine), obveze za materijalne rashode u iznosu od 3.298,28 eura (režijski troškovi energenata, usluga čišćenja, usluga putničke agencije za organizaciju jednodnevnog izleta, usluge vođenja poslova zaštite na radu, usluge centralnog dojavnog sustava, prijevoz za prosinac 2025.) i obveze za nabavu nefinancijske imovine u iznosu od 214,02 eura (mobilni uređaj). Plaćanje navedenih obveza bit </w:t>
      </w:r>
      <w:proofErr w:type="gramStart"/>
      <w:r>
        <w:t>će</w:t>
      </w:r>
      <w:proofErr w:type="gramEnd"/>
      <w:r>
        <w:t xml:space="preserve"> izvršeno u 2026. </w:t>
      </w:r>
      <w:proofErr w:type="gramStart"/>
      <w:r>
        <w:t>godini</w:t>
      </w:r>
      <w:proofErr w:type="gramEnd"/>
      <w:r>
        <w:t xml:space="preserve"> sukladno dospijeću.</w:t>
      </w:r>
    </w:p>
    <w:p w:rsidR="00E519D7" w:rsidRDefault="00E519D7"/>
    <w:sectPr w:rsidR="00E519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D7"/>
    <w:rsid w:val="00D51E4D"/>
    <w:rsid w:val="00E519D7"/>
    <w:rsid w:val="00F0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3F88-FBD3-4E60-9104-131D7EEE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Kukuljan Ljiljana</dc:creator>
  <cp:lastModifiedBy>Kukuljan Ljiljana</cp:lastModifiedBy>
  <cp:revision>3</cp:revision>
  <dcterms:created xsi:type="dcterms:W3CDTF">2026-01-29T16:24:00Z</dcterms:created>
  <dcterms:modified xsi:type="dcterms:W3CDTF">2026-01-30T07:20:00Z</dcterms:modified>
</cp:coreProperties>
</file>