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b/>
        </w:rPr>
      </w:pPr>
      <w:r>
        <w:rPr>
          <w:b/>
        </w:rPr>
        <w:t>CENTAR ZA PRUŽANJE USLUGA U ZAJEDNICI TIĆ RIJEKA</w:t>
      </w:r>
    </w:p>
    <w:p>
      <w:pPr>
        <w:rPr>
          <w:b/>
        </w:rPr>
      </w:pPr>
      <w:r>
        <w:rPr>
          <w:b/>
        </w:rPr>
        <w:t>Beli Kamik 11</w:t>
      </w:r>
    </w:p>
    <w:p>
      <w:pPr>
        <w:rPr>
          <w:b/>
        </w:rPr>
      </w:pPr>
      <w:r>
        <w:rPr>
          <w:b/>
        </w:rPr>
        <w:t xml:space="preserve">51 000 Rijeka </w:t>
      </w:r>
    </w:p>
    <w:p>
      <w:pPr>
        <w:rPr>
          <w:b/>
          <w:highlight w:val="none"/>
        </w:rPr>
      </w:pPr>
      <w:r>
        <w:rPr>
          <w:b/>
          <w:highlight w:val="none"/>
        </w:rPr>
        <w:t xml:space="preserve"> </w:t>
      </w:r>
    </w:p>
    <w:p>
      <w:pPr>
        <w:rPr>
          <w:rFonts w:hint="default"/>
          <w:b/>
          <w:bCs/>
          <w:iCs/>
          <w:highlight w:val="none"/>
          <w:lang w:val="hr-HR"/>
        </w:rPr>
      </w:pPr>
      <w:r>
        <w:rPr>
          <w:b/>
          <w:highlight w:val="none"/>
        </w:rPr>
        <w:t xml:space="preserve">KLASA: </w:t>
      </w:r>
      <w:r>
        <w:rPr>
          <w:rFonts w:hint="default"/>
          <w:b/>
          <w:highlight w:val="none"/>
          <w:lang w:val="hr-HR"/>
        </w:rPr>
        <w:t>112-01/24-01/2</w:t>
      </w:r>
    </w:p>
    <w:p>
      <w:pPr>
        <w:rPr>
          <w:rFonts w:hint="default"/>
          <w:b/>
          <w:highlight w:val="none"/>
          <w:lang w:val="hr-HR"/>
        </w:rPr>
      </w:pPr>
      <w:r>
        <w:rPr>
          <w:b/>
          <w:bCs/>
          <w:iCs/>
          <w:highlight w:val="none"/>
        </w:rPr>
        <w:t xml:space="preserve">URBROJ: </w:t>
      </w:r>
      <w:r>
        <w:rPr>
          <w:b/>
          <w:iCs/>
          <w:highlight w:val="none"/>
        </w:rPr>
        <w:t xml:space="preserve"> </w:t>
      </w:r>
      <w:r>
        <w:rPr>
          <w:rFonts w:hint="default"/>
          <w:b/>
          <w:iCs/>
          <w:highlight w:val="none"/>
          <w:lang w:val="hr-HR"/>
        </w:rPr>
        <w:t>2170-1-26-24-1</w:t>
      </w:r>
    </w:p>
    <w:p>
      <w:pPr>
        <w:rPr>
          <w:rFonts w:hint="default"/>
          <w:b/>
          <w:highlight w:val="none"/>
          <w:lang w:val="hr-HR"/>
        </w:rPr>
      </w:pPr>
      <w:r>
        <w:rPr>
          <w:b/>
          <w:highlight w:val="none"/>
        </w:rPr>
        <w:t>Rijeka,</w:t>
      </w:r>
      <w:r>
        <w:rPr>
          <w:rFonts w:hint="default"/>
          <w:b/>
          <w:highlight w:val="none"/>
          <w:lang w:val="hr-HR"/>
        </w:rPr>
        <w:t xml:space="preserve"> 29.04.2024.</w:t>
      </w:r>
    </w:p>
    <w:p>
      <w:pPr>
        <w:rPr>
          <w:b/>
        </w:rPr>
      </w:pPr>
      <w:r>
        <w:rPr>
          <w:b/>
        </w:rPr>
        <w:t xml:space="preserve"> </w:t>
      </w:r>
    </w:p>
    <w:p>
      <w:pPr>
        <w:rPr>
          <w:b/>
        </w:rPr>
      </w:pPr>
      <w:r>
        <w:rPr>
          <w:b/>
        </w:rPr>
        <w:t xml:space="preserve">Na temelju članka 6. Pravilnika o radu Centra za pružanje usluga u zajednici Tić Rijeka, ravnatelj Centra, raspisuje  </w:t>
      </w:r>
    </w:p>
    <w:p>
      <w:pPr>
        <w:rPr>
          <w:b/>
        </w:rPr>
      </w:pPr>
    </w:p>
    <w:p>
      <w:pPr>
        <w:ind w:left="3540" w:firstLine="708"/>
        <w:rPr>
          <w:b/>
        </w:rPr>
      </w:pPr>
      <w:r>
        <w:rPr>
          <w:b/>
        </w:rPr>
        <w:t>N A T J E Č A J</w:t>
      </w:r>
    </w:p>
    <w:p>
      <w:pPr>
        <w:ind w:left="708" w:firstLine="708"/>
        <w:rPr>
          <w:b/>
        </w:rPr>
      </w:pPr>
      <w:r>
        <w:rPr>
          <w:b/>
        </w:rPr>
        <w:t xml:space="preserve">za prijam u radni odnos na neodređeno vrijeme na radno mjesto:  </w:t>
      </w:r>
    </w:p>
    <w:p>
      <w:pPr>
        <w:jc w:val="center"/>
        <w:rPr>
          <w:rFonts w:ascii="Arial" w:hAnsi="Arial" w:cs="Arial"/>
          <w:b/>
          <w:sz w:val="22"/>
          <w:szCs w:val="22"/>
        </w:rPr>
      </w:pPr>
      <w:bookmarkStart w:id="0" w:name="_GoBack"/>
      <w:bookmarkEnd w:id="0"/>
      <w:r>
        <w:rPr>
          <w:rFonts w:ascii="Arial" w:hAnsi="Arial" w:cs="Arial"/>
          <w:b/>
          <w:sz w:val="22"/>
          <w:szCs w:val="22"/>
        </w:rPr>
        <w:t>ADMINISTRATIVNI REFERENT (/1 izvršitelj/ica, uz probni rad u trajanju od tri mjeseca)</w:t>
      </w:r>
    </w:p>
    <w:p>
      <w:pPr>
        <w:keepNext/>
        <w:jc w:val="both"/>
        <w:outlineLvl w:val="4"/>
        <w:rPr>
          <w:rFonts w:ascii="Arial" w:hAnsi="Arial" w:cs="Arial"/>
          <w:sz w:val="22"/>
          <w:szCs w:val="22"/>
          <w:lang w:val="zh-CN" w:eastAsia="zh-CN"/>
        </w:rPr>
      </w:pPr>
      <w:r>
        <w:rPr>
          <w:rFonts w:ascii="Arial" w:hAnsi="Arial" w:cs="Arial"/>
          <w:sz w:val="22"/>
          <w:szCs w:val="22"/>
          <w:lang w:val="zh-CN" w:eastAsia="zh-CN"/>
        </w:rPr>
        <w:t xml:space="preserve">Uvjeti radnog mjesta: </w:t>
      </w:r>
    </w:p>
    <w:p>
      <w:pPr>
        <w:pStyle w:val="5"/>
        <w:numPr>
          <w:ilvl w:val="0"/>
          <w:numId w:val="1"/>
        </w:numPr>
        <w:jc w:val="both"/>
        <w:rPr>
          <w:rFonts w:ascii="Arial" w:hAnsi="Arial" w:cs="Arial"/>
          <w:sz w:val="22"/>
          <w:szCs w:val="22"/>
        </w:rPr>
      </w:pPr>
      <w:r>
        <w:rPr>
          <w:rFonts w:ascii="Arial" w:hAnsi="Arial" w:cs="Arial"/>
          <w:sz w:val="22"/>
          <w:szCs w:val="22"/>
        </w:rPr>
        <w:t>stručni studij – upravni studij ili srednjoškolsko obrazovanje upravne ili ekonomske struke</w:t>
      </w:r>
    </w:p>
    <w:p>
      <w:pPr>
        <w:pStyle w:val="5"/>
        <w:numPr>
          <w:ilvl w:val="0"/>
          <w:numId w:val="1"/>
        </w:numPr>
        <w:jc w:val="both"/>
        <w:rPr>
          <w:rFonts w:ascii="Arial" w:hAnsi="Arial" w:cs="Arial"/>
          <w:sz w:val="22"/>
          <w:szCs w:val="22"/>
        </w:rPr>
      </w:pPr>
      <w:r>
        <w:rPr>
          <w:rFonts w:ascii="Arial" w:hAnsi="Arial" w:cs="Arial"/>
          <w:sz w:val="22"/>
          <w:szCs w:val="22"/>
        </w:rPr>
        <w:t>poznavanje rada na PC-u</w:t>
      </w:r>
    </w:p>
    <w:p>
      <w:pPr>
        <w:jc w:val="both"/>
        <w:rPr>
          <w:rFonts w:ascii="Arial" w:hAnsi="Arial" w:cs="Arial"/>
          <w:sz w:val="22"/>
          <w:szCs w:val="22"/>
        </w:rPr>
      </w:pPr>
    </w:p>
    <w:p>
      <w:pPr>
        <w:jc w:val="both"/>
        <w:rPr>
          <w:rFonts w:ascii="Arial" w:hAnsi="Arial" w:cs="Arial"/>
          <w:sz w:val="22"/>
          <w:szCs w:val="22"/>
        </w:rPr>
      </w:pPr>
      <w:r>
        <w:rPr>
          <w:rFonts w:ascii="Arial" w:hAnsi="Arial" w:cs="Arial"/>
          <w:sz w:val="22"/>
          <w:szCs w:val="22"/>
        </w:rPr>
        <w:t>Na natječaj se mogu javiti osobe oba spola.</w:t>
      </w:r>
    </w:p>
    <w:p>
      <w:pPr>
        <w:tabs>
          <w:tab w:val="center" w:pos="4536"/>
          <w:tab w:val="right" w:pos="9072"/>
        </w:tabs>
        <w:overflowPunct w:val="0"/>
        <w:autoSpaceDE w:val="0"/>
        <w:autoSpaceDN w:val="0"/>
        <w:adjustRightInd w:val="0"/>
        <w:jc w:val="both"/>
        <w:textAlignment w:val="baseline"/>
        <w:rPr>
          <w:rFonts w:ascii="Arial" w:hAnsi="Arial" w:cs="Arial"/>
          <w:sz w:val="22"/>
          <w:szCs w:val="22"/>
        </w:rPr>
      </w:pPr>
      <w:r>
        <w:rPr>
          <w:rFonts w:ascii="Arial" w:hAnsi="Arial" w:cs="Arial"/>
          <w:sz w:val="22"/>
          <w:szCs w:val="22"/>
        </w:rPr>
        <w:t>Izrazi koji se koriste u ovom tekstu natječaja, a imaju rodno značenje, odnose se jednako na muški i ženski rod.</w:t>
      </w:r>
    </w:p>
    <w:p>
      <w:pPr>
        <w:jc w:val="both"/>
        <w:rPr>
          <w:rFonts w:ascii="Arial" w:hAnsi="Arial" w:cs="Arial"/>
          <w:sz w:val="22"/>
          <w:szCs w:val="22"/>
        </w:rPr>
      </w:pPr>
    </w:p>
    <w:p>
      <w:pPr>
        <w:jc w:val="both"/>
        <w:rPr>
          <w:rFonts w:ascii="Arial" w:hAnsi="Arial" w:cs="Arial"/>
          <w:sz w:val="22"/>
          <w:szCs w:val="22"/>
        </w:rPr>
      </w:pPr>
      <w:r>
        <w:rPr>
          <w:rFonts w:ascii="Arial" w:hAnsi="Arial" w:cs="Arial"/>
          <w:sz w:val="22"/>
          <w:szCs w:val="22"/>
        </w:rPr>
        <w:t>Kandida</w:t>
      </w:r>
      <w:r>
        <w:rPr>
          <w:rFonts w:hint="default" w:ascii="Arial" w:hAnsi="Arial" w:cs="Arial"/>
          <w:sz w:val="22"/>
          <w:szCs w:val="22"/>
          <w:lang w:val="hr-HR"/>
        </w:rPr>
        <w:t xml:space="preserve">t je </w:t>
      </w:r>
      <w:r>
        <w:rPr>
          <w:rFonts w:ascii="Arial" w:hAnsi="Arial" w:cs="Arial"/>
          <w:sz w:val="22"/>
          <w:szCs w:val="22"/>
        </w:rPr>
        <w:t>uz prijavu na natječaj, obvez</w:t>
      </w:r>
      <w:r>
        <w:rPr>
          <w:rFonts w:hint="default" w:ascii="Arial" w:hAnsi="Arial" w:cs="Arial"/>
          <w:sz w:val="22"/>
          <w:szCs w:val="22"/>
          <w:lang w:val="hr-HR"/>
        </w:rPr>
        <w:t xml:space="preserve">an </w:t>
      </w:r>
      <w:r>
        <w:rPr>
          <w:rFonts w:ascii="Arial" w:hAnsi="Arial" w:cs="Arial"/>
          <w:sz w:val="22"/>
          <w:szCs w:val="22"/>
        </w:rPr>
        <w:t xml:space="preserve"> priložiti dokaze o ispunjavanju uvjeta iz natječaja:  </w:t>
      </w:r>
    </w:p>
    <w:p>
      <w:pPr>
        <w:numPr>
          <w:ilvl w:val="0"/>
          <w:numId w:val="2"/>
        </w:numPr>
        <w:jc w:val="both"/>
        <w:rPr>
          <w:rFonts w:ascii="Arial" w:hAnsi="Arial" w:cs="Arial"/>
          <w:sz w:val="22"/>
          <w:szCs w:val="22"/>
        </w:rPr>
      </w:pPr>
      <w:r>
        <w:rPr>
          <w:rFonts w:ascii="Arial" w:hAnsi="Arial" w:cs="Arial"/>
          <w:sz w:val="22"/>
          <w:szCs w:val="22"/>
        </w:rPr>
        <w:t xml:space="preserve">životopis, </w:t>
      </w:r>
    </w:p>
    <w:p>
      <w:pPr>
        <w:numPr>
          <w:ilvl w:val="0"/>
          <w:numId w:val="2"/>
        </w:numPr>
        <w:jc w:val="both"/>
        <w:rPr>
          <w:rFonts w:ascii="Arial" w:hAnsi="Arial" w:cs="Arial"/>
          <w:sz w:val="22"/>
          <w:szCs w:val="22"/>
        </w:rPr>
      </w:pPr>
      <w:r>
        <w:rPr>
          <w:rFonts w:ascii="Arial" w:hAnsi="Arial" w:cs="Arial"/>
          <w:sz w:val="22"/>
          <w:szCs w:val="22"/>
        </w:rPr>
        <w:t xml:space="preserve">dokaz o hrvatskom državljanstvu (preslika osobne iskaznice ili domovnice), </w:t>
      </w:r>
    </w:p>
    <w:p>
      <w:pPr>
        <w:numPr>
          <w:ilvl w:val="0"/>
          <w:numId w:val="2"/>
        </w:numPr>
        <w:jc w:val="both"/>
        <w:rPr>
          <w:rFonts w:ascii="Arial" w:hAnsi="Arial" w:cs="Arial"/>
          <w:sz w:val="22"/>
          <w:szCs w:val="22"/>
        </w:rPr>
      </w:pPr>
      <w:r>
        <w:rPr>
          <w:rFonts w:ascii="Arial" w:hAnsi="Arial" w:cs="Arial"/>
          <w:sz w:val="22"/>
          <w:szCs w:val="22"/>
        </w:rPr>
        <w:t xml:space="preserve">dokaz o stručnoj spremi (preslika diplome odnosno svjedodžbe),  </w:t>
      </w:r>
    </w:p>
    <w:p>
      <w:pPr>
        <w:numPr>
          <w:ilvl w:val="0"/>
          <w:numId w:val="2"/>
        </w:numPr>
        <w:jc w:val="both"/>
        <w:rPr>
          <w:rFonts w:ascii="Arial" w:hAnsi="Arial" w:cs="Arial"/>
          <w:sz w:val="22"/>
          <w:szCs w:val="22"/>
        </w:rPr>
      </w:pPr>
      <w:r>
        <w:rPr>
          <w:rFonts w:ascii="Arial" w:hAnsi="Arial" w:cs="Arial"/>
          <w:sz w:val="22"/>
          <w:szCs w:val="22"/>
        </w:rPr>
        <w:t>dokaz o ukupnom radnom iskustvu (ispis elektroničkog zapisa o radno pravnom statusu /                              e-radna knjižica koja se vodi pri Hrvatskom zavodu za mirovinsko osiguranje)</w:t>
      </w:r>
    </w:p>
    <w:p>
      <w:pPr>
        <w:numPr>
          <w:ilvl w:val="0"/>
          <w:numId w:val="2"/>
        </w:numPr>
        <w:jc w:val="both"/>
        <w:rPr>
          <w:rFonts w:ascii="Arial" w:hAnsi="Arial" w:cs="Arial"/>
          <w:sz w:val="22"/>
          <w:szCs w:val="22"/>
        </w:rPr>
      </w:pPr>
      <w:r>
        <w:rPr>
          <w:rFonts w:ascii="Arial" w:hAnsi="Arial" w:cs="Arial"/>
          <w:sz w:val="22"/>
          <w:szCs w:val="22"/>
        </w:rPr>
        <w:t>dokaz o položenom stručnom ispitu (preslika potvrde o položenom stručnom ispitu – ukoliko je primjenjivo).</w:t>
      </w:r>
    </w:p>
    <w:p>
      <w:pPr>
        <w:tabs>
          <w:tab w:val="center" w:pos="4536"/>
          <w:tab w:val="right" w:pos="9072"/>
        </w:tabs>
        <w:overflowPunct w:val="0"/>
        <w:autoSpaceDE w:val="0"/>
        <w:autoSpaceDN w:val="0"/>
        <w:adjustRightInd w:val="0"/>
        <w:jc w:val="both"/>
        <w:textAlignment w:val="baseline"/>
        <w:rPr>
          <w:rFonts w:ascii="Arial" w:hAnsi="Arial" w:cs="Arial"/>
          <w:sz w:val="22"/>
          <w:szCs w:val="22"/>
        </w:rPr>
      </w:pPr>
    </w:p>
    <w:p>
      <w:pPr>
        <w:tabs>
          <w:tab w:val="center" w:pos="4536"/>
          <w:tab w:val="right" w:pos="9072"/>
        </w:tabs>
        <w:overflowPunct w:val="0"/>
        <w:autoSpaceDE w:val="0"/>
        <w:autoSpaceDN w:val="0"/>
        <w:adjustRightInd w:val="0"/>
        <w:jc w:val="both"/>
        <w:textAlignment w:val="baseline"/>
        <w:rPr>
          <w:rFonts w:ascii="Arial" w:hAnsi="Arial" w:cs="Arial"/>
          <w:sz w:val="22"/>
          <w:szCs w:val="22"/>
        </w:rPr>
      </w:pPr>
      <w:r>
        <w:rPr>
          <w:rFonts w:ascii="Arial" w:hAnsi="Arial" w:cs="Arial"/>
          <w:sz w:val="22"/>
          <w:szCs w:val="22"/>
        </w:rPr>
        <w:t>Na natječaj se mogu prijaviti i kandidati koji nemaju položen stručni ispit uz uvjet da isti polože u zakonskom roku, uz iznimke propisane člankom 258. Zakona o socijalnoj skrbi („Narodne novine“ broj 18/22, 46/22, 119/22, 71/23 i 156/23 - dalje u tekstu: Zakon).</w:t>
      </w:r>
    </w:p>
    <w:p>
      <w:pPr>
        <w:tabs>
          <w:tab w:val="center" w:pos="4536"/>
          <w:tab w:val="right" w:pos="9072"/>
        </w:tabs>
        <w:overflowPunct w:val="0"/>
        <w:autoSpaceDE w:val="0"/>
        <w:autoSpaceDN w:val="0"/>
        <w:adjustRightInd w:val="0"/>
        <w:jc w:val="both"/>
        <w:textAlignment w:val="baseline"/>
        <w:rPr>
          <w:rFonts w:ascii="Arial" w:hAnsi="Arial" w:cs="Arial"/>
          <w:sz w:val="22"/>
          <w:szCs w:val="22"/>
        </w:rPr>
      </w:pPr>
    </w:p>
    <w:p>
      <w:pPr>
        <w:tabs>
          <w:tab w:val="center" w:pos="4536"/>
          <w:tab w:val="right" w:pos="9072"/>
        </w:tabs>
        <w:overflowPunct w:val="0"/>
        <w:autoSpaceDE w:val="0"/>
        <w:autoSpaceDN w:val="0"/>
        <w:adjustRightInd w:val="0"/>
        <w:jc w:val="both"/>
        <w:textAlignment w:val="baseline"/>
        <w:rPr>
          <w:rFonts w:ascii="Arial" w:hAnsi="Arial" w:cs="Arial"/>
          <w:sz w:val="22"/>
          <w:szCs w:val="22"/>
        </w:rPr>
      </w:pPr>
    </w:p>
    <w:p>
      <w:pPr>
        <w:tabs>
          <w:tab w:val="center" w:pos="4536"/>
          <w:tab w:val="right" w:pos="9072"/>
        </w:tabs>
        <w:overflowPunct w:val="0"/>
        <w:autoSpaceDE w:val="0"/>
        <w:autoSpaceDN w:val="0"/>
        <w:adjustRightInd w:val="0"/>
        <w:jc w:val="both"/>
        <w:textAlignment w:val="baseline"/>
        <w:rPr>
          <w:rFonts w:ascii="Arial" w:hAnsi="Arial" w:cs="Arial"/>
          <w:sz w:val="22"/>
          <w:szCs w:val="22"/>
        </w:rPr>
      </w:pPr>
      <w:r>
        <w:rPr>
          <w:rFonts w:ascii="Arial" w:hAnsi="Arial" w:cs="Arial"/>
          <w:sz w:val="22"/>
          <w:szCs w:val="22"/>
        </w:rPr>
        <w:t>Ne može se primiti u radni odnos osoba za koju postoje zapreke za zasnivanje radnog odnosa sukladno članku 261. Zakona.</w:t>
      </w:r>
    </w:p>
    <w:p>
      <w:pPr>
        <w:tabs>
          <w:tab w:val="center" w:pos="4536"/>
          <w:tab w:val="right" w:pos="9072"/>
        </w:tabs>
        <w:overflowPunct w:val="0"/>
        <w:autoSpaceDE w:val="0"/>
        <w:autoSpaceDN w:val="0"/>
        <w:adjustRightInd w:val="0"/>
        <w:jc w:val="both"/>
        <w:textAlignment w:val="baseline"/>
        <w:rPr>
          <w:rFonts w:ascii="Arial" w:hAnsi="Arial" w:cs="Arial"/>
          <w:sz w:val="22"/>
          <w:szCs w:val="22"/>
        </w:rPr>
      </w:pPr>
      <w:r>
        <w:rPr>
          <w:rFonts w:ascii="Arial" w:hAnsi="Arial" w:cs="Arial"/>
          <w:sz w:val="22"/>
          <w:szCs w:val="22"/>
        </w:rPr>
        <w:t>Prije sklapanja ugovora o radu s odabranim kandidatom, poslodavac će po službenoj dužnosti pribaviti dokaz da  ista nije osuđena za kaznena djela ili za prekršaj iz članka 261. Zakona, te da se protiv nje pred nadležnim sudom ne vodi postupak iz stavka 1. točke 4. ovoga članka.</w:t>
      </w:r>
    </w:p>
    <w:p>
      <w:pPr>
        <w:jc w:val="both"/>
        <w:rPr>
          <w:rFonts w:ascii="Arial" w:hAnsi="Arial" w:cs="Arial"/>
          <w:sz w:val="22"/>
          <w:szCs w:val="22"/>
        </w:rPr>
      </w:pPr>
    </w:p>
    <w:p>
      <w:pPr>
        <w:jc w:val="both"/>
        <w:rPr>
          <w:rFonts w:ascii="Arial" w:hAnsi="Arial" w:cs="Arial"/>
          <w:sz w:val="22"/>
          <w:szCs w:val="22"/>
        </w:rPr>
      </w:pPr>
      <w:r>
        <w:rPr>
          <w:rFonts w:ascii="Arial" w:hAnsi="Arial" w:cs="Arial"/>
          <w:sz w:val="22"/>
          <w:szCs w:val="22"/>
        </w:rPr>
        <w:t xml:space="preserve">Kandidat koji ostvaruje pravo prednosti pri zapošljavanju prema posebnim propisima dužan je u prijavi na natječaj pozvati se na to pravo i ima prednost u odnosu na ostale kandidate samo pod jednakim uvjetima. Da bi ostvario pravo prednosti prilikom zapošljavanja, kandidat koji ispunjava uvjete za ostvarivanje tog prava, dužan je uz prijavu na natječaj priložiti sve dokaze o ispunjavanju uvjeta iz natječaja, kao i rješenje odnosno potvrdu o priznatom statusu, te dokaz iz kojeg je vidljivo na koji način je prestao radni odnos kod posljednjeg poslodavca (ugovor, rješenje, odluka i sl.).   Kandidat koji se poziva  na  pravo prednosti pri zapošljavanju na temelju Zakona o hrvatskim braniteljima iz Domovinskog rata i članovima njihovih obitelji, dužan je, osim dokaza o ispunjavanju traženih uvjeta natječaja, dostaviti i dokaze iz članka 103. Zakona o hrvatskim braniteljima iz Domovinskog rata i članovima njihovih obitelji. Dokazi potrebni za ostvarivanje prava prednosti pri zapošljavanju objavljeni su na sljedećoj poveznici: </w:t>
      </w:r>
      <w:r>
        <w:fldChar w:fldCharType="begin"/>
      </w:r>
      <w:r>
        <w:instrText xml:space="preserve"> HYPERLINK "https://branitelji.gov.hr/zaposljavanje-u-drzavnoj-sluzbi/843" </w:instrText>
      </w:r>
      <w:r>
        <w:fldChar w:fldCharType="separate"/>
      </w:r>
      <w:r>
        <w:rPr>
          <w:rStyle w:val="4"/>
          <w:rFonts w:ascii="Arial" w:hAnsi="Arial" w:cs="Arial"/>
          <w:sz w:val="22"/>
          <w:szCs w:val="22"/>
        </w:rPr>
        <w:t>https://branitelji.gov.hr/zaposljavanje-u-drzavnoj-sluzbi/843</w:t>
      </w:r>
      <w:r>
        <w:rPr>
          <w:rStyle w:val="4"/>
          <w:rFonts w:ascii="Arial" w:hAnsi="Arial" w:cs="Arial"/>
          <w:sz w:val="22"/>
          <w:szCs w:val="22"/>
        </w:rPr>
        <w:fldChar w:fldCharType="end"/>
      </w:r>
      <w:r>
        <w:rPr>
          <w:rFonts w:ascii="Arial" w:hAnsi="Arial" w:cs="Arial"/>
          <w:sz w:val="22"/>
          <w:szCs w:val="22"/>
        </w:rPr>
        <w:t xml:space="preserve"> .</w:t>
      </w:r>
    </w:p>
    <w:p>
      <w:pPr>
        <w:ind w:firstLine="709"/>
        <w:jc w:val="both"/>
        <w:rPr>
          <w:rFonts w:ascii="Arial" w:hAnsi="Arial" w:cs="Arial"/>
          <w:b/>
          <w:sz w:val="22"/>
          <w:szCs w:val="22"/>
        </w:rPr>
      </w:pPr>
    </w:p>
    <w:p>
      <w:pPr>
        <w:jc w:val="both"/>
        <w:rPr>
          <w:rFonts w:ascii="Arial" w:hAnsi="Arial" w:cs="Arial"/>
          <w:b/>
          <w:sz w:val="22"/>
          <w:szCs w:val="22"/>
        </w:rPr>
      </w:pPr>
      <w:r>
        <w:rPr>
          <w:rFonts w:ascii="Arial" w:hAnsi="Arial" w:cs="Arial"/>
          <w:b/>
          <w:sz w:val="22"/>
          <w:szCs w:val="22"/>
        </w:rPr>
        <w:t xml:space="preserve">Prijave na natječaj s dokazima o ispunjavanju propisanih uvjeta dostavljaju se u roku od osam dana od dana objave natječaja na adresu: CENTAR ZA PRUŽANJE USLUGA U ZAJEDNICI TIĆ RIJEKA, Beli Kamik 11, Rijeka, s naznakom "NATJEČAJ ZA RADNO MJESTO - </w:t>
      </w:r>
      <w:r>
        <w:rPr>
          <w:rFonts w:hint="default" w:ascii="Arial" w:hAnsi="Arial" w:cs="Arial"/>
          <w:b/>
          <w:sz w:val="22"/>
          <w:szCs w:val="22"/>
          <w:lang w:val="hr-HR"/>
        </w:rPr>
        <w:t>ADMINISTRATIVNI REFERENT</w:t>
      </w:r>
      <w:r>
        <w:rPr>
          <w:rFonts w:ascii="Arial" w:hAnsi="Arial" w:cs="Arial"/>
          <w:b/>
          <w:sz w:val="22"/>
          <w:szCs w:val="22"/>
        </w:rPr>
        <w:t xml:space="preserve">".  </w:t>
      </w:r>
    </w:p>
    <w:p>
      <w:pPr>
        <w:jc w:val="both"/>
        <w:rPr>
          <w:rFonts w:ascii="Arial" w:hAnsi="Arial" w:cs="Arial"/>
          <w:sz w:val="22"/>
          <w:szCs w:val="22"/>
        </w:rPr>
      </w:pPr>
      <w:r>
        <w:rPr>
          <w:rFonts w:ascii="Arial" w:hAnsi="Arial" w:cs="Arial"/>
          <w:sz w:val="22"/>
          <w:szCs w:val="22"/>
        </w:rPr>
        <w:t>Podnošenjem prijave na natječaj kandidati su suglasni da Centar Tić Rijeka kao voditelj zbirke osobnih podataka može prikupljati, koristiti i dalje obrađivati njihove osobne podatke isključivo u svrhu provedbe natječajnog postupka sukladno propisima koji uređuju zaštitu osobnih podataka.</w:t>
      </w:r>
    </w:p>
    <w:p>
      <w:pPr>
        <w:jc w:val="both"/>
        <w:rPr>
          <w:rFonts w:ascii="Arial" w:hAnsi="Arial" w:cs="Arial"/>
          <w:sz w:val="22"/>
          <w:szCs w:val="22"/>
        </w:rPr>
      </w:pPr>
      <w:r>
        <w:rPr>
          <w:rFonts w:ascii="Arial" w:hAnsi="Arial" w:cs="Arial"/>
          <w:sz w:val="22"/>
          <w:szCs w:val="22"/>
        </w:rPr>
        <w:t>Nepotpune i nepravodobne prijave neće se razmatrati.</w:t>
      </w:r>
    </w:p>
    <w:p>
      <w:pPr>
        <w:jc w:val="both"/>
        <w:rPr>
          <w:rFonts w:ascii="Arial" w:hAnsi="Arial" w:cs="Arial"/>
          <w:sz w:val="22"/>
          <w:szCs w:val="22"/>
        </w:rPr>
      </w:pPr>
      <w:r>
        <w:rPr>
          <w:rFonts w:ascii="Arial" w:hAnsi="Arial" w:cs="Arial"/>
          <w:sz w:val="22"/>
          <w:szCs w:val="22"/>
        </w:rPr>
        <w:t xml:space="preserve">O rezultatima izbora po ovom natječaju kandidati će biti obaviješteni u zakonskom roku.                 </w:t>
      </w:r>
    </w:p>
    <w:p>
      <w:pPr>
        <w:jc w:val="both"/>
        <w:rPr>
          <w:rFonts w:ascii="Arial" w:hAnsi="Arial" w:cs="Arial"/>
          <w:sz w:val="22"/>
          <w:szCs w:val="22"/>
        </w:rPr>
      </w:pPr>
      <w:r>
        <w:rPr>
          <w:rFonts w:ascii="Arial" w:hAnsi="Arial" w:cs="Arial"/>
          <w:sz w:val="22"/>
          <w:szCs w:val="22"/>
        </w:rPr>
        <w:t>Centar Tić Rijeka zadržava pravo poništiti ovaj natječaj.</w:t>
      </w:r>
    </w:p>
    <w:p>
      <w:pPr>
        <w:jc w:val="both"/>
        <w:rPr>
          <w:rFonts w:ascii="Arial" w:hAnsi="Arial" w:cs="Arial"/>
          <w:sz w:val="22"/>
          <w:szCs w:val="22"/>
        </w:rPr>
      </w:pPr>
    </w:p>
    <w:p>
      <w:pPr>
        <w:ind w:firstLine="709"/>
        <w:jc w:val="both"/>
        <w:rPr>
          <w:rFonts w:ascii="Arial" w:hAnsi="Arial" w:cs="Arial"/>
          <w:sz w:val="22"/>
          <w:szCs w:val="22"/>
        </w:rPr>
      </w:pPr>
    </w:p>
    <w:p>
      <w:pPr>
        <w:jc w:val="both"/>
        <w:rPr>
          <w:rFonts w:ascii="Arial" w:hAnsi="Arial" w:cs="Arial"/>
          <w:sz w:val="22"/>
          <w:szCs w:val="22"/>
        </w:rPr>
      </w:pPr>
      <w:r>
        <w:rPr>
          <w:rFonts w:ascii="Arial" w:hAnsi="Arial" w:cs="Arial"/>
          <w:sz w:val="22"/>
          <w:szCs w:val="22"/>
        </w:rPr>
        <w:t xml:space="preserve">         </w:t>
      </w:r>
    </w:p>
    <w:p>
      <w:pPr>
        <w:jc w:val="both"/>
        <w:rPr>
          <w:rFonts w:ascii="Arial" w:hAnsi="Arial" w:cs="Arial"/>
          <w:sz w:val="22"/>
          <w:szCs w:val="22"/>
        </w:rPr>
      </w:pPr>
    </w:p>
    <w:tbl>
      <w:tblPr>
        <w:tblStyle w:val="3"/>
        <w:tblW w:w="9638" w:type="dxa"/>
        <w:tblInd w:w="0" w:type="dxa"/>
        <w:tblLayout w:type="autofit"/>
        <w:tblCellMar>
          <w:top w:w="0" w:type="dxa"/>
          <w:left w:w="108" w:type="dxa"/>
          <w:bottom w:w="0" w:type="dxa"/>
          <w:right w:w="108" w:type="dxa"/>
        </w:tblCellMar>
      </w:tblPr>
      <w:tblGrid>
        <w:gridCol w:w="3212"/>
        <w:gridCol w:w="1603"/>
        <w:gridCol w:w="4823"/>
      </w:tblGrid>
      <w:tr>
        <w:tblPrEx>
          <w:tblCellMar>
            <w:top w:w="0" w:type="dxa"/>
            <w:left w:w="108" w:type="dxa"/>
            <w:bottom w:w="0" w:type="dxa"/>
            <w:right w:w="108" w:type="dxa"/>
          </w:tblCellMar>
        </w:tblPrEx>
        <w:tc>
          <w:tcPr>
            <w:tcW w:w="3212" w:type="dxa"/>
          </w:tcPr>
          <w:p>
            <w:pPr>
              <w:jc w:val="both"/>
              <w:rPr>
                <w:rFonts w:ascii="Arial" w:hAnsi="Arial" w:cs="Arial"/>
                <w:sz w:val="22"/>
                <w:szCs w:val="22"/>
              </w:rPr>
            </w:pPr>
          </w:p>
        </w:tc>
        <w:tc>
          <w:tcPr>
            <w:tcW w:w="1603" w:type="dxa"/>
          </w:tcPr>
          <w:p>
            <w:pPr>
              <w:jc w:val="both"/>
              <w:rPr>
                <w:rFonts w:ascii="Arial" w:hAnsi="Arial" w:cs="Arial"/>
                <w:sz w:val="22"/>
                <w:szCs w:val="22"/>
              </w:rPr>
            </w:pPr>
          </w:p>
        </w:tc>
        <w:tc>
          <w:tcPr>
            <w:tcW w:w="4823" w:type="dxa"/>
          </w:tcPr>
          <w:p>
            <w:pPr>
              <w:jc w:val="center"/>
              <w:rPr>
                <w:rFonts w:ascii="Arial" w:hAnsi="Arial" w:cs="Arial"/>
                <w:b/>
                <w:sz w:val="22"/>
                <w:szCs w:val="22"/>
              </w:rPr>
            </w:pPr>
            <w:r>
              <w:rPr>
                <w:rFonts w:ascii="Arial" w:hAnsi="Arial" w:cs="Arial"/>
                <w:b/>
                <w:sz w:val="22"/>
                <w:szCs w:val="22"/>
              </w:rPr>
              <w:t>RAVNATELJ</w:t>
            </w:r>
          </w:p>
        </w:tc>
      </w:tr>
      <w:tr>
        <w:tblPrEx>
          <w:tblCellMar>
            <w:top w:w="0" w:type="dxa"/>
            <w:left w:w="108" w:type="dxa"/>
            <w:bottom w:w="0" w:type="dxa"/>
            <w:right w:w="108" w:type="dxa"/>
          </w:tblCellMar>
        </w:tblPrEx>
        <w:tc>
          <w:tcPr>
            <w:tcW w:w="3212" w:type="dxa"/>
          </w:tcPr>
          <w:p>
            <w:pPr>
              <w:jc w:val="both"/>
              <w:rPr>
                <w:rFonts w:ascii="Arial" w:hAnsi="Arial" w:cs="Arial"/>
                <w:sz w:val="22"/>
                <w:szCs w:val="22"/>
              </w:rPr>
            </w:pPr>
          </w:p>
        </w:tc>
        <w:tc>
          <w:tcPr>
            <w:tcW w:w="1603" w:type="dxa"/>
          </w:tcPr>
          <w:p>
            <w:pPr>
              <w:jc w:val="both"/>
              <w:rPr>
                <w:rFonts w:ascii="Arial" w:hAnsi="Arial" w:cs="Arial"/>
                <w:sz w:val="22"/>
                <w:szCs w:val="22"/>
              </w:rPr>
            </w:pPr>
          </w:p>
        </w:tc>
        <w:tc>
          <w:tcPr>
            <w:tcW w:w="4823" w:type="dxa"/>
          </w:tcPr>
          <w:p>
            <w:pPr>
              <w:jc w:val="center"/>
              <w:rPr>
                <w:rFonts w:ascii="Arial" w:hAnsi="Arial" w:cs="Arial"/>
                <w:b/>
                <w:sz w:val="22"/>
                <w:szCs w:val="22"/>
              </w:rPr>
            </w:pPr>
          </w:p>
        </w:tc>
      </w:tr>
      <w:tr>
        <w:tblPrEx>
          <w:tblCellMar>
            <w:top w:w="0" w:type="dxa"/>
            <w:left w:w="108" w:type="dxa"/>
            <w:bottom w:w="0" w:type="dxa"/>
            <w:right w:w="108" w:type="dxa"/>
          </w:tblCellMar>
        </w:tblPrEx>
        <w:tc>
          <w:tcPr>
            <w:tcW w:w="3212" w:type="dxa"/>
          </w:tcPr>
          <w:p>
            <w:pPr>
              <w:jc w:val="both"/>
              <w:rPr>
                <w:rFonts w:ascii="Arial" w:hAnsi="Arial" w:cs="Arial"/>
                <w:sz w:val="22"/>
                <w:szCs w:val="22"/>
              </w:rPr>
            </w:pPr>
          </w:p>
        </w:tc>
        <w:tc>
          <w:tcPr>
            <w:tcW w:w="1603" w:type="dxa"/>
          </w:tcPr>
          <w:p>
            <w:pPr>
              <w:jc w:val="both"/>
              <w:rPr>
                <w:rFonts w:ascii="Arial" w:hAnsi="Arial" w:cs="Arial"/>
                <w:sz w:val="22"/>
                <w:szCs w:val="22"/>
              </w:rPr>
            </w:pPr>
          </w:p>
        </w:tc>
        <w:tc>
          <w:tcPr>
            <w:tcW w:w="4823" w:type="dxa"/>
          </w:tcPr>
          <w:p>
            <w:pPr>
              <w:jc w:val="center"/>
              <w:rPr>
                <w:rFonts w:ascii="Arial" w:hAnsi="Arial" w:cs="Arial"/>
                <w:b/>
                <w:sz w:val="22"/>
                <w:szCs w:val="22"/>
              </w:rPr>
            </w:pPr>
            <w:r>
              <w:rPr>
                <w:rFonts w:ascii="Arial" w:hAnsi="Arial" w:cs="Arial"/>
                <w:b/>
                <w:sz w:val="22"/>
                <w:szCs w:val="22"/>
              </w:rPr>
              <w:t>Dario Kulišić, prof.psih.</w:t>
            </w:r>
          </w:p>
        </w:tc>
      </w:tr>
    </w:tbl>
    <w:p>
      <w:pPr>
        <w:ind w:firstLine="720"/>
        <w:jc w:val="both"/>
        <w:rPr>
          <w:rFonts w:ascii="Arial" w:hAnsi="Arial" w:cs="Arial"/>
          <w:sz w:val="22"/>
          <w:szCs w:val="22"/>
        </w:rPr>
      </w:pPr>
    </w:p>
    <w:p>
      <w:pPr>
        <w:rPr>
          <w:rFonts w:ascii="Arial" w:hAnsi="Arial" w:cs="Arial"/>
          <w:sz w:val="22"/>
          <w:szCs w:val="22"/>
        </w:rPr>
      </w:pPr>
    </w:p>
    <w:p>
      <w:pPr>
        <w:rPr>
          <w:b/>
        </w:rPr>
      </w:pPr>
    </w:p>
    <w:p>
      <w:pPr>
        <w:rPr>
          <w:b/>
        </w:rPr>
      </w:pPr>
      <w:r>
        <w:rPr>
          <w:b/>
        </w:rPr>
        <w:t xml:space="preserve"> </w:t>
      </w:r>
    </w:p>
    <w:p>
      <w:pPr>
        <w:rPr>
          <w:b/>
        </w:rPr>
      </w:pPr>
    </w:p>
    <w:p/>
    <w:sectPr>
      <w:pgSz w:w="11906" w:h="16838"/>
      <w:pgMar w:top="1417" w:right="1417" w:bottom="1417" w:left="1417"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等线">
    <w:altName w:val="Arial Unicode MS"/>
    <w:panose1 w:val="00000000000000000000"/>
    <w:charset w:val="86"/>
    <w:family w:val="auto"/>
    <w:pitch w:val="default"/>
    <w:sig w:usb0="00000000" w:usb1="00000000" w:usb2="00000000" w:usb3="00000000" w:csb0="0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ymbol">
    <w:panose1 w:val="05050102010706020507"/>
    <w:charset w:val="02"/>
    <w:family w:val="roman"/>
    <w:pitch w:val="default"/>
    <w:sig w:usb0="00000000" w:usb1="0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E94713"/>
    <w:multiLevelType w:val="multilevel"/>
    <w:tmpl w:val="06E94713"/>
    <w:lvl w:ilvl="0" w:tentative="0">
      <w:start w:val="4"/>
      <w:numFmt w:val="bullet"/>
      <w:lvlText w:val="-"/>
      <w:lvlJc w:val="left"/>
      <w:pPr>
        <w:tabs>
          <w:tab w:val="left" w:pos="720"/>
        </w:tabs>
        <w:ind w:left="720" w:hanging="360"/>
      </w:pPr>
      <w:rPr>
        <w:rFonts w:hint="default" w:ascii="Arial" w:hAnsi="Arial" w:eastAsia="Times New Roman" w:cs="Arial"/>
      </w:rPr>
    </w:lvl>
    <w:lvl w:ilvl="1" w:tentative="0">
      <w:start w:val="1"/>
      <w:numFmt w:val="bullet"/>
      <w:lvlText w:val="o"/>
      <w:lvlJc w:val="left"/>
      <w:pPr>
        <w:tabs>
          <w:tab w:val="left" w:pos="1440"/>
        </w:tabs>
        <w:ind w:left="1440" w:hanging="360"/>
      </w:pPr>
      <w:rPr>
        <w:rFonts w:hint="default" w:ascii="Courier New" w:hAnsi="Courier New" w:cs="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1">
    <w:nsid w:val="385A04D6"/>
    <w:multiLevelType w:val="multilevel"/>
    <w:tmpl w:val="385A04D6"/>
    <w:lvl w:ilvl="0" w:tentative="0">
      <w:start w:val="8"/>
      <w:numFmt w:val="bullet"/>
      <w:lvlText w:val="-"/>
      <w:lvlJc w:val="left"/>
      <w:pPr>
        <w:ind w:left="720" w:hanging="360"/>
      </w:pPr>
      <w:rPr>
        <w:rFonts w:hint="default" w:ascii="Arial" w:hAnsi="Arial" w:eastAsia="Times New Roman" w:cs="Aria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5CCC"/>
    <w:rsid w:val="000235C0"/>
    <w:rsid w:val="00030037"/>
    <w:rsid w:val="00030DA9"/>
    <w:rsid w:val="00037F4C"/>
    <w:rsid w:val="00065051"/>
    <w:rsid w:val="000762B8"/>
    <w:rsid w:val="000843B4"/>
    <w:rsid w:val="000A3027"/>
    <w:rsid w:val="000C57F8"/>
    <w:rsid w:val="000D5EC9"/>
    <w:rsid w:val="00103640"/>
    <w:rsid w:val="00105CE1"/>
    <w:rsid w:val="00126E15"/>
    <w:rsid w:val="00135E8A"/>
    <w:rsid w:val="0013686F"/>
    <w:rsid w:val="001C6660"/>
    <w:rsid w:val="001C7489"/>
    <w:rsid w:val="001F162D"/>
    <w:rsid w:val="00210BA2"/>
    <w:rsid w:val="00210D85"/>
    <w:rsid w:val="0022343D"/>
    <w:rsid w:val="00225AD7"/>
    <w:rsid w:val="00251A1C"/>
    <w:rsid w:val="002551DE"/>
    <w:rsid w:val="00261F3D"/>
    <w:rsid w:val="00266BD0"/>
    <w:rsid w:val="00293320"/>
    <w:rsid w:val="002950E1"/>
    <w:rsid w:val="002A1201"/>
    <w:rsid w:val="002E3E2A"/>
    <w:rsid w:val="002F162F"/>
    <w:rsid w:val="003203B4"/>
    <w:rsid w:val="003476A8"/>
    <w:rsid w:val="0036342D"/>
    <w:rsid w:val="003B3D6E"/>
    <w:rsid w:val="003B7C84"/>
    <w:rsid w:val="003D2D40"/>
    <w:rsid w:val="004010A1"/>
    <w:rsid w:val="0042116F"/>
    <w:rsid w:val="00432CE9"/>
    <w:rsid w:val="00446D46"/>
    <w:rsid w:val="00465F27"/>
    <w:rsid w:val="0048770D"/>
    <w:rsid w:val="00490392"/>
    <w:rsid w:val="004A014F"/>
    <w:rsid w:val="004C44CA"/>
    <w:rsid w:val="004C5127"/>
    <w:rsid w:val="004D5B6D"/>
    <w:rsid w:val="004E3C45"/>
    <w:rsid w:val="004F3B07"/>
    <w:rsid w:val="004F3E45"/>
    <w:rsid w:val="0052324B"/>
    <w:rsid w:val="005346E9"/>
    <w:rsid w:val="00545B0D"/>
    <w:rsid w:val="00561D39"/>
    <w:rsid w:val="00566DDB"/>
    <w:rsid w:val="005813D5"/>
    <w:rsid w:val="00593789"/>
    <w:rsid w:val="005A0997"/>
    <w:rsid w:val="005B7AFF"/>
    <w:rsid w:val="005C1725"/>
    <w:rsid w:val="005D0B71"/>
    <w:rsid w:val="005F314E"/>
    <w:rsid w:val="005F434F"/>
    <w:rsid w:val="006079AA"/>
    <w:rsid w:val="00610F1F"/>
    <w:rsid w:val="00642DC4"/>
    <w:rsid w:val="006473AB"/>
    <w:rsid w:val="006633C9"/>
    <w:rsid w:val="006662EF"/>
    <w:rsid w:val="00673D85"/>
    <w:rsid w:val="00677FC8"/>
    <w:rsid w:val="00681915"/>
    <w:rsid w:val="00695813"/>
    <w:rsid w:val="006A3DD7"/>
    <w:rsid w:val="006A4C60"/>
    <w:rsid w:val="006B619C"/>
    <w:rsid w:val="006C5F88"/>
    <w:rsid w:val="006D515D"/>
    <w:rsid w:val="006E7443"/>
    <w:rsid w:val="00714EE5"/>
    <w:rsid w:val="00721167"/>
    <w:rsid w:val="007259C6"/>
    <w:rsid w:val="00780D80"/>
    <w:rsid w:val="0078296A"/>
    <w:rsid w:val="0079262D"/>
    <w:rsid w:val="00795A44"/>
    <w:rsid w:val="007A1E4B"/>
    <w:rsid w:val="007A587C"/>
    <w:rsid w:val="007B3A9D"/>
    <w:rsid w:val="007C039C"/>
    <w:rsid w:val="007C4E72"/>
    <w:rsid w:val="007C5CE9"/>
    <w:rsid w:val="007C668F"/>
    <w:rsid w:val="007C756D"/>
    <w:rsid w:val="007D0CF6"/>
    <w:rsid w:val="007D39F5"/>
    <w:rsid w:val="007F0162"/>
    <w:rsid w:val="007F10C0"/>
    <w:rsid w:val="007F2E66"/>
    <w:rsid w:val="007F75F2"/>
    <w:rsid w:val="008054EE"/>
    <w:rsid w:val="008121FB"/>
    <w:rsid w:val="008307C6"/>
    <w:rsid w:val="00832A57"/>
    <w:rsid w:val="008572FB"/>
    <w:rsid w:val="008A2055"/>
    <w:rsid w:val="008A3469"/>
    <w:rsid w:val="008C247B"/>
    <w:rsid w:val="008C6334"/>
    <w:rsid w:val="008E27DF"/>
    <w:rsid w:val="0092461C"/>
    <w:rsid w:val="009313BA"/>
    <w:rsid w:val="00942BEF"/>
    <w:rsid w:val="0095685A"/>
    <w:rsid w:val="00964243"/>
    <w:rsid w:val="009A1DD6"/>
    <w:rsid w:val="009B1A6D"/>
    <w:rsid w:val="009D36FC"/>
    <w:rsid w:val="009E68B2"/>
    <w:rsid w:val="009F62FE"/>
    <w:rsid w:val="00A06420"/>
    <w:rsid w:val="00A13EC9"/>
    <w:rsid w:val="00A202FF"/>
    <w:rsid w:val="00A566EF"/>
    <w:rsid w:val="00A93AEE"/>
    <w:rsid w:val="00B02AEE"/>
    <w:rsid w:val="00B44152"/>
    <w:rsid w:val="00B60EF1"/>
    <w:rsid w:val="00B83DD0"/>
    <w:rsid w:val="00B84E2C"/>
    <w:rsid w:val="00B90CC8"/>
    <w:rsid w:val="00BB7E9B"/>
    <w:rsid w:val="00BD0A13"/>
    <w:rsid w:val="00C02BF4"/>
    <w:rsid w:val="00C0464A"/>
    <w:rsid w:val="00C2176F"/>
    <w:rsid w:val="00C242AA"/>
    <w:rsid w:val="00C36F52"/>
    <w:rsid w:val="00C42366"/>
    <w:rsid w:val="00C65CCC"/>
    <w:rsid w:val="00C7595E"/>
    <w:rsid w:val="00C75B64"/>
    <w:rsid w:val="00C775EF"/>
    <w:rsid w:val="00CA7520"/>
    <w:rsid w:val="00CA76E0"/>
    <w:rsid w:val="00CB5FAE"/>
    <w:rsid w:val="00CD4F5D"/>
    <w:rsid w:val="00CF386A"/>
    <w:rsid w:val="00D113F9"/>
    <w:rsid w:val="00D34EA7"/>
    <w:rsid w:val="00D81B60"/>
    <w:rsid w:val="00D841B6"/>
    <w:rsid w:val="00D9758E"/>
    <w:rsid w:val="00DE0406"/>
    <w:rsid w:val="00DF4AE7"/>
    <w:rsid w:val="00E11ABA"/>
    <w:rsid w:val="00E179DD"/>
    <w:rsid w:val="00E337DB"/>
    <w:rsid w:val="00E36BBA"/>
    <w:rsid w:val="00E4448B"/>
    <w:rsid w:val="00E53DD6"/>
    <w:rsid w:val="00E60AC6"/>
    <w:rsid w:val="00E806AE"/>
    <w:rsid w:val="00E80F9B"/>
    <w:rsid w:val="00E95A8F"/>
    <w:rsid w:val="00EB1492"/>
    <w:rsid w:val="00ED49A1"/>
    <w:rsid w:val="00ED7463"/>
    <w:rsid w:val="00F07F9D"/>
    <w:rsid w:val="00F119F3"/>
    <w:rsid w:val="00F21C1A"/>
    <w:rsid w:val="00F36051"/>
    <w:rsid w:val="00F40097"/>
    <w:rsid w:val="00F7256F"/>
    <w:rsid w:val="00F77B64"/>
    <w:rsid w:val="00F83A43"/>
    <w:rsid w:val="00F91FE2"/>
    <w:rsid w:val="00F930EB"/>
    <w:rsid w:val="00FA3D36"/>
    <w:rsid w:val="00FB0AC0"/>
    <w:rsid w:val="00FB3DDA"/>
    <w:rsid w:val="00FD1EAE"/>
    <w:rsid w:val="00FF14CF"/>
    <w:rsid w:val="01A51E49"/>
    <w:rsid w:val="5DDC3AB3"/>
    <w:rsid w:val="6CD27160"/>
    <w:rsid w:val="79E06E7C"/>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hr-HR" w:eastAsia="en-US" w:bidi="ar-SA"/>
    </w:rPr>
  </w:style>
  <w:style w:type="character" w:default="1" w:styleId="2">
    <w:name w:val="Default Paragraph Font"/>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character" w:styleId="4">
    <w:name w:val="Hyperlink"/>
    <w:basedOn w:val="2"/>
    <w:autoRedefine/>
    <w:unhideWhenUsed/>
    <w:qFormat/>
    <w:uiPriority w:val="99"/>
    <w:rPr>
      <w:color w:val="0563C1" w:themeColor="hyperlink"/>
      <w:u w:val="single"/>
      <w14:textFill>
        <w14:solidFill>
          <w14:schemeClr w14:val="hlink"/>
        </w14:solidFill>
      </w14:textFill>
    </w:rPr>
  </w:style>
  <w:style w:type="paragraph" w:styleId="5">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Grad Rijeka</Company>
  <Pages>3</Pages>
  <Words>462</Words>
  <Characters>2638</Characters>
  <Lines>21</Lines>
  <Paragraphs>6</Paragraphs>
  <TotalTime>1</TotalTime>
  <ScaleCrop>false</ScaleCrop>
  <LinksUpToDate>false</LinksUpToDate>
  <CharactersWithSpaces>3094</CharactersWithSpaces>
  <Application>WPS Office_12.2.0.16731_F1E327BC-269C-435d-A152-05C5408002CA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2024-04-24T11:47:00Z</dcterms:created>
  <dc:creator>Tadejević Tomac Martina</dc:creator>
  <cp:lastModifiedBy>tadejevic-tomac</cp:lastModifiedBy>
  <dcterms:modified xsi:type="dcterms:W3CDTF">2024-04-29T11:46:26Z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1033-12.2.0.16731</vt:lpwstr>
  </property>
  <property fmtid="{D5CDD505-2E9C-101B-9397-08002B2CF9AE}" pid="3" name="ICV">
    <vt:lpwstr>1404B0E068C74CDE959A5787CA9C4C66_12</vt:lpwstr>
  </property>
</Properties>
</file>